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0"/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>02</w:t>
      </w:r>
      <w:r>
        <w:rPr>
          <w:rFonts w:hint="eastAsia"/>
          <w:b/>
          <w:bCs/>
          <w:sz w:val="40"/>
          <w:szCs w:val="40"/>
          <w:lang w:val="en-US" w:eastAsia="zh-CN"/>
        </w:rPr>
        <w:t>2</w:t>
      </w:r>
      <w:bookmarkStart w:id="0" w:name="_GoBack"/>
      <w:bookmarkEnd w:id="0"/>
      <w:r>
        <w:rPr>
          <w:rFonts w:hint="eastAsia"/>
          <w:b/>
          <w:bCs/>
          <w:sz w:val="40"/>
          <w:szCs w:val="40"/>
        </w:rPr>
        <w:t>年效益类实体投标书格式要求</w:t>
      </w:r>
    </w:p>
    <w:p>
      <w:pPr>
        <w:pStyle w:val="3"/>
        <w:spacing w:before="0"/>
        <w:ind w:left="0"/>
        <w:rPr>
          <w:sz w:val="40"/>
          <w:szCs w:val="40"/>
        </w:rPr>
      </w:pPr>
    </w:p>
    <w:p>
      <w:pPr>
        <w:pStyle w:val="3"/>
        <w:tabs>
          <w:tab w:val="left" w:pos="798"/>
        </w:tabs>
        <w:spacing w:before="54"/>
        <w:ind w:left="157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目</w:t>
      </w: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>录</w:t>
      </w:r>
    </w:p>
    <w:p>
      <w:pPr>
        <w:pStyle w:val="3"/>
        <w:spacing w:before="5"/>
        <w:ind w:left="0"/>
        <w:rPr>
          <w:sz w:val="40"/>
          <w:szCs w:val="40"/>
        </w:rPr>
      </w:pPr>
    </w:p>
    <w:p>
      <w:pPr>
        <w:pStyle w:val="3"/>
        <w:tabs>
          <w:tab w:val="left" w:leader="dot" w:pos="8937"/>
        </w:tabs>
        <w:spacing w:before="0"/>
        <w:ind w:left="0" w:firstLine="1446" w:firstLineChars="400"/>
        <w:rPr>
          <w:sz w:val="36"/>
          <w:szCs w:val="36"/>
        </w:rPr>
      </w:pPr>
      <w:r>
        <w:rPr>
          <w:sz w:val="36"/>
          <w:szCs w:val="36"/>
        </w:rPr>
        <w:t>一、竞标信息表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>
      <w:pPr>
        <w:pStyle w:val="3"/>
        <w:tabs>
          <w:tab w:val="left" w:leader="dot" w:pos="8937"/>
        </w:tabs>
        <w:ind w:left="0" w:firstLine="1446" w:firstLineChars="400"/>
        <w:rPr>
          <w:w w:val="95"/>
          <w:sz w:val="36"/>
          <w:szCs w:val="36"/>
        </w:rPr>
      </w:pPr>
      <w:r>
        <w:rPr>
          <w:sz w:val="36"/>
          <w:szCs w:val="36"/>
        </w:rPr>
        <w:t>二、实体定位及业务范围</w:t>
      </w:r>
      <w:r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  <w:lang w:val="en-US"/>
        </w:rPr>
        <w:t>简明扼要）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>
      <w:pPr>
        <w:pStyle w:val="3"/>
        <w:tabs>
          <w:tab w:val="left" w:leader="dot" w:pos="8937"/>
        </w:tabs>
        <w:ind w:left="0" w:firstLine="1446" w:firstLineChars="400"/>
        <w:rPr>
          <w:w w:val="95"/>
          <w:sz w:val="36"/>
          <w:szCs w:val="36"/>
        </w:rPr>
      </w:pPr>
      <w:r>
        <w:rPr>
          <w:sz w:val="36"/>
          <w:szCs w:val="36"/>
        </w:rPr>
        <w:t>三、市场分析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>
      <w:pPr>
        <w:pStyle w:val="3"/>
        <w:tabs>
          <w:tab w:val="left" w:leader="dot" w:pos="8937"/>
        </w:tabs>
        <w:ind w:left="0" w:firstLine="1374" w:firstLineChars="400"/>
        <w:rPr>
          <w:w w:val="95"/>
          <w:sz w:val="36"/>
          <w:szCs w:val="36"/>
          <w:lang w:val="en-US"/>
        </w:rPr>
      </w:pPr>
      <w:r>
        <w:rPr>
          <w:rFonts w:hint="eastAsia"/>
          <w:w w:val="95"/>
          <w:sz w:val="36"/>
          <w:szCs w:val="36"/>
          <w:lang w:val="en-US"/>
        </w:rPr>
        <w:t>（一）校内市场问卷分析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>
      <w:pPr>
        <w:pStyle w:val="3"/>
        <w:tabs>
          <w:tab w:val="left" w:leader="dot" w:pos="8937"/>
        </w:tabs>
        <w:ind w:left="0" w:firstLine="1374" w:firstLineChars="400"/>
        <w:rPr>
          <w:w w:val="95"/>
          <w:sz w:val="36"/>
          <w:szCs w:val="36"/>
          <w:lang w:val="en-US"/>
        </w:rPr>
      </w:pPr>
      <w:r>
        <w:rPr>
          <w:rFonts w:hint="eastAsia"/>
          <w:w w:val="95"/>
          <w:sz w:val="36"/>
          <w:szCs w:val="36"/>
          <w:lang w:val="en-US"/>
        </w:rPr>
        <w:t>（二）校外调研学习报告（非强制要求）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>
      <w:pPr>
        <w:pStyle w:val="3"/>
        <w:tabs>
          <w:tab w:val="left" w:leader="dot" w:pos="8937"/>
        </w:tabs>
        <w:ind w:left="0" w:firstLine="1446" w:firstLineChars="400"/>
        <w:rPr>
          <w:sz w:val="36"/>
          <w:szCs w:val="36"/>
        </w:rPr>
      </w:pPr>
      <w:r>
        <w:rPr>
          <w:sz w:val="36"/>
          <w:szCs w:val="36"/>
        </w:rPr>
        <w:t>四、发展规</w:t>
      </w:r>
      <w:r>
        <w:rPr>
          <w:rFonts w:hint="eastAsia"/>
          <w:w w:val="95"/>
          <w:sz w:val="36"/>
          <w:szCs w:val="36"/>
          <w:lang w:val="en-US"/>
        </w:rPr>
        <w:t>划（分点叙述，突出可行性）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>
      <w:pPr>
        <w:pStyle w:val="3"/>
        <w:tabs>
          <w:tab w:val="left" w:leader="dot" w:pos="8937"/>
        </w:tabs>
        <w:ind w:left="0" w:firstLine="1446" w:firstLineChars="400"/>
        <w:rPr>
          <w:w w:val="95"/>
          <w:sz w:val="36"/>
          <w:szCs w:val="36"/>
        </w:rPr>
      </w:pPr>
      <w:r>
        <w:rPr>
          <w:sz w:val="36"/>
          <w:szCs w:val="36"/>
        </w:rPr>
        <w:t>五、</w:t>
      </w:r>
      <w:r>
        <w:rPr>
          <w:rFonts w:hint="eastAsia"/>
          <w:sz w:val="36"/>
          <w:szCs w:val="36"/>
        </w:rPr>
        <w:t>财务</w:t>
      </w:r>
      <w:r>
        <w:rPr>
          <w:sz w:val="36"/>
          <w:szCs w:val="36"/>
        </w:rPr>
        <w:t>分析</w:t>
      </w:r>
      <w:r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  <w:lang w:val="en-US"/>
        </w:rPr>
        <w:t>包含但不限于以下四点）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>
      <w:pPr>
        <w:pStyle w:val="3"/>
        <w:tabs>
          <w:tab w:val="left" w:leader="dot" w:pos="8937"/>
        </w:tabs>
        <w:ind w:left="0" w:firstLine="1374" w:firstLineChars="400"/>
        <w:rPr>
          <w:w w:val="95"/>
          <w:sz w:val="36"/>
          <w:szCs w:val="36"/>
        </w:rPr>
      </w:pPr>
      <w:r>
        <w:rPr>
          <w:rFonts w:hint="eastAsia"/>
          <w:w w:val="95"/>
          <w:sz w:val="36"/>
          <w:szCs w:val="36"/>
          <w:lang w:val="en-US"/>
        </w:rPr>
        <w:t>（一）各项成本占比</w:t>
      </w:r>
      <w:r>
        <w:rPr>
          <w:rFonts w:hint="eastAsia"/>
          <w:w w:val="95"/>
          <w:sz w:val="36"/>
          <w:szCs w:val="36"/>
        </w:rPr>
        <w:t>分析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>
      <w:pPr>
        <w:pStyle w:val="3"/>
        <w:tabs>
          <w:tab w:val="left" w:leader="dot" w:pos="8937"/>
        </w:tabs>
        <w:ind w:left="0" w:firstLine="1374" w:firstLineChars="400"/>
        <w:rPr>
          <w:w w:val="95"/>
          <w:sz w:val="36"/>
          <w:szCs w:val="36"/>
        </w:rPr>
      </w:pPr>
      <w:r>
        <w:rPr>
          <w:rFonts w:hint="eastAsia"/>
          <w:w w:val="95"/>
          <w:sz w:val="36"/>
          <w:szCs w:val="36"/>
          <w:lang w:val="en-US"/>
        </w:rPr>
        <w:t>（二）经营情况同比</w:t>
      </w:r>
      <w:r>
        <w:rPr>
          <w:rFonts w:hint="eastAsia"/>
          <w:w w:val="95"/>
          <w:sz w:val="36"/>
          <w:szCs w:val="36"/>
        </w:rPr>
        <w:t>分析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>
      <w:pPr>
        <w:pStyle w:val="3"/>
        <w:tabs>
          <w:tab w:val="left" w:leader="dot" w:pos="8937"/>
        </w:tabs>
        <w:ind w:left="0" w:firstLine="1374" w:firstLineChars="400"/>
        <w:rPr>
          <w:w w:val="95"/>
          <w:sz w:val="36"/>
          <w:szCs w:val="36"/>
        </w:rPr>
      </w:pPr>
      <w:r>
        <w:rPr>
          <w:rFonts w:hint="eastAsia"/>
          <w:w w:val="95"/>
          <w:sz w:val="36"/>
          <w:szCs w:val="36"/>
          <w:lang w:val="en-US"/>
        </w:rPr>
        <w:t>（三）</w:t>
      </w:r>
      <w:r>
        <w:rPr>
          <w:rFonts w:hint="eastAsia"/>
          <w:w w:val="95"/>
          <w:sz w:val="36"/>
          <w:szCs w:val="36"/>
        </w:rPr>
        <w:t>各项业务的盈利</w:t>
      </w:r>
      <w:r>
        <w:rPr>
          <w:rFonts w:hint="eastAsia"/>
          <w:w w:val="95"/>
          <w:sz w:val="36"/>
          <w:szCs w:val="36"/>
          <w:lang w:val="en-US"/>
        </w:rPr>
        <w:t>/亏损分析</w:t>
      </w:r>
      <w:r>
        <w:rPr>
          <w:rFonts w:hint="eastAsia"/>
          <w:w w:val="95"/>
          <w:sz w:val="36"/>
          <w:szCs w:val="36"/>
        </w:rPr>
        <w:t>情况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>
      <w:pPr>
        <w:pStyle w:val="3"/>
        <w:tabs>
          <w:tab w:val="left" w:leader="dot" w:pos="8937"/>
        </w:tabs>
        <w:ind w:left="0" w:firstLine="1374" w:firstLineChars="400"/>
        <w:rPr>
          <w:w w:val="95"/>
          <w:sz w:val="36"/>
          <w:szCs w:val="36"/>
        </w:rPr>
      </w:pPr>
      <w:r>
        <w:rPr>
          <w:rFonts w:hint="eastAsia"/>
          <w:w w:val="95"/>
          <w:sz w:val="36"/>
          <w:szCs w:val="36"/>
          <w:lang w:val="en-US"/>
        </w:rPr>
        <w:t>（四）</w:t>
      </w:r>
      <w:r>
        <w:rPr>
          <w:rFonts w:hint="eastAsia"/>
          <w:w w:val="95"/>
          <w:sz w:val="36"/>
          <w:szCs w:val="36"/>
        </w:rPr>
        <w:t>财务目标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>
      <w:pPr>
        <w:pStyle w:val="3"/>
        <w:tabs>
          <w:tab w:val="left" w:leader="dot" w:pos="8937"/>
        </w:tabs>
        <w:ind w:left="0" w:firstLine="1446" w:firstLineChars="400"/>
        <w:rPr>
          <w:sz w:val="36"/>
          <w:szCs w:val="36"/>
        </w:rPr>
      </w:pPr>
      <w:r>
        <w:rPr>
          <w:sz w:val="36"/>
          <w:szCs w:val="36"/>
        </w:rPr>
        <w:t>六、经营策略</w:t>
      </w:r>
      <w:r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  <w:lang w:val="en-US"/>
        </w:rPr>
        <w:t>围绕如何达成财务目标）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>
      <w:pPr>
        <w:pStyle w:val="3"/>
        <w:tabs>
          <w:tab w:val="left" w:leader="dot" w:pos="8937"/>
        </w:tabs>
        <w:ind w:left="0" w:firstLine="1446" w:firstLineChars="400"/>
        <w:rPr>
          <w:w w:val="95"/>
          <w:sz w:val="36"/>
          <w:szCs w:val="36"/>
        </w:rPr>
      </w:pPr>
      <w:r>
        <w:rPr>
          <w:sz w:val="36"/>
          <w:szCs w:val="36"/>
        </w:rPr>
        <w:t>七、</w:t>
      </w:r>
      <w:r>
        <w:rPr>
          <w:rFonts w:hint="eastAsia"/>
          <w:sz w:val="36"/>
          <w:szCs w:val="36"/>
          <w:lang w:val="en-US"/>
        </w:rPr>
        <w:t>人员管理（包含但不限于以下三点）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>
      <w:pPr>
        <w:pStyle w:val="3"/>
        <w:tabs>
          <w:tab w:val="left" w:leader="dot" w:pos="8937"/>
        </w:tabs>
        <w:ind w:left="0" w:firstLine="1374" w:firstLineChars="400"/>
        <w:rPr>
          <w:w w:val="95"/>
          <w:sz w:val="36"/>
          <w:szCs w:val="36"/>
          <w:lang w:val="en-US"/>
        </w:rPr>
      </w:pPr>
      <w:r>
        <w:rPr>
          <w:rFonts w:hint="eastAsia"/>
          <w:w w:val="95"/>
          <w:sz w:val="36"/>
          <w:szCs w:val="36"/>
          <w:lang w:val="en-US"/>
        </w:rPr>
        <w:t>（一）经理层分工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>
      <w:pPr>
        <w:pStyle w:val="3"/>
        <w:tabs>
          <w:tab w:val="left" w:leader="dot" w:pos="8937"/>
        </w:tabs>
        <w:ind w:left="0" w:firstLine="1374" w:firstLineChars="400"/>
        <w:rPr>
          <w:w w:val="95"/>
          <w:sz w:val="36"/>
          <w:szCs w:val="36"/>
          <w:lang w:val="en-US"/>
        </w:rPr>
      </w:pPr>
      <w:r>
        <w:rPr>
          <w:rFonts w:hint="eastAsia"/>
          <w:w w:val="95"/>
          <w:sz w:val="36"/>
          <w:szCs w:val="36"/>
          <w:lang w:val="en-US"/>
        </w:rPr>
        <w:t>（二）单位架构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>
      <w:pPr>
        <w:pStyle w:val="3"/>
        <w:tabs>
          <w:tab w:val="left" w:leader="dot" w:pos="8937"/>
        </w:tabs>
        <w:ind w:left="0" w:firstLine="1374" w:firstLineChars="400"/>
        <w:rPr>
          <w:w w:val="95"/>
          <w:sz w:val="36"/>
          <w:szCs w:val="36"/>
          <w:lang w:val="en-US"/>
        </w:rPr>
      </w:pPr>
      <w:r>
        <w:rPr>
          <w:rFonts w:hint="eastAsia"/>
          <w:w w:val="95"/>
          <w:sz w:val="36"/>
          <w:szCs w:val="36"/>
          <w:lang w:val="en-US"/>
        </w:rPr>
        <w:t>（三）部门分工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>
      <w:pPr>
        <w:pStyle w:val="3"/>
        <w:tabs>
          <w:tab w:val="left" w:leader="dot" w:pos="8937"/>
        </w:tabs>
        <w:ind w:left="0" w:firstLine="1446" w:firstLineChars="400"/>
      </w:pPr>
      <w:r>
        <w:rPr>
          <w:rFonts w:hint="eastAsia"/>
          <w:sz w:val="36"/>
          <w:szCs w:val="36"/>
          <w:lang w:val="en-US"/>
        </w:rPr>
        <w:t>八</w:t>
      </w:r>
      <w:r>
        <w:rPr>
          <w:sz w:val="36"/>
          <w:szCs w:val="36"/>
        </w:rPr>
        <w:t>、其他特色内容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>
      <w:pPr>
        <w:sectPr>
          <w:type w:val="continuous"/>
          <w:pgSz w:w="11910" w:h="16840"/>
          <w:pgMar w:top="1500" w:right="760" w:bottom="280" w:left="600" w:header="720" w:footer="720" w:gutter="0"/>
          <w:cols w:space="720" w:num="1"/>
        </w:sectPr>
      </w:pPr>
    </w:p>
    <w:p>
      <w:pPr>
        <w:pStyle w:val="3"/>
        <w:spacing w:before="30"/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>云山勤工实体竞投团队信息表</w:t>
      </w:r>
    </w:p>
    <w:p>
      <w:pPr>
        <w:pStyle w:val="3"/>
        <w:spacing w:before="4"/>
        <w:ind w:left="0"/>
        <w:rPr>
          <w:sz w:val="20"/>
        </w:rPr>
      </w:pPr>
    </w:p>
    <w:tbl>
      <w:tblPr>
        <w:tblStyle w:val="7"/>
        <w:tblW w:w="10312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7"/>
        <w:gridCol w:w="828"/>
        <w:gridCol w:w="1188"/>
        <w:gridCol w:w="1112"/>
        <w:gridCol w:w="987"/>
        <w:gridCol w:w="785"/>
        <w:gridCol w:w="1124"/>
        <w:gridCol w:w="1110"/>
        <w:gridCol w:w="21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182" w:type="dxa"/>
            <w:gridSpan w:val="5"/>
            <w:vAlign w:val="center"/>
          </w:tcPr>
          <w:p>
            <w:pPr>
              <w:pStyle w:val="12"/>
              <w:spacing w:before="109"/>
              <w:ind w:left="1927" w:right="19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团队名称</w:t>
            </w:r>
          </w:p>
        </w:tc>
        <w:tc>
          <w:tcPr>
            <w:tcW w:w="5130" w:type="dxa"/>
            <w:gridSpan w:val="4"/>
            <w:vAlign w:val="center"/>
          </w:tcPr>
          <w:p>
            <w:pPr>
              <w:pStyle w:val="12"/>
              <w:spacing w:before="109"/>
              <w:ind w:left="1902" w:right="189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意向实体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5182" w:type="dxa"/>
            <w:gridSpan w:val="5"/>
            <w:vAlign w:val="center"/>
          </w:tcPr>
          <w:p>
            <w:pPr>
              <w:pStyle w:val="12"/>
              <w:jc w:val="center"/>
              <w:rPr>
                <w:sz w:val="26"/>
              </w:rPr>
            </w:pPr>
          </w:p>
        </w:tc>
        <w:tc>
          <w:tcPr>
            <w:tcW w:w="5130" w:type="dxa"/>
            <w:gridSpan w:val="4"/>
            <w:vAlign w:val="center"/>
          </w:tcPr>
          <w:p>
            <w:pPr>
              <w:pStyle w:val="12"/>
              <w:jc w:val="center"/>
              <w:rPr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12" w:type="dxa"/>
            <w:gridSpan w:val="9"/>
            <w:vAlign w:val="center"/>
          </w:tcPr>
          <w:p>
            <w:pPr>
              <w:pStyle w:val="12"/>
              <w:spacing w:before="108"/>
              <w:ind w:left="4170" w:right="416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队伍成员信息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067" w:type="dxa"/>
            <w:vAlign w:val="center"/>
          </w:tcPr>
          <w:p>
            <w:pPr>
              <w:pStyle w:val="12"/>
              <w:spacing w:before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828" w:type="dxa"/>
            <w:vAlign w:val="center"/>
          </w:tcPr>
          <w:p>
            <w:pPr>
              <w:pStyle w:val="12"/>
              <w:spacing w:before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性别</w:t>
            </w:r>
          </w:p>
        </w:tc>
        <w:tc>
          <w:tcPr>
            <w:tcW w:w="1188" w:type="dxa"/>
            <w:vAlign w:val="center"/>
          </w:tcPr>
          <w:p>
            <w:pPr>
              <w:pStyle w:val="12"/>
              <w:spacing w:before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学院</w:t>
            </w:r>
          </w:p>
        </w:tc>
        <w:tc>
          <w:tcPr>
            <w:tcW w:w="1112" w:type="dxa"/>
            <w:vAlign w:val="center"/>
          </w:tcPr>
          <w:p>
            <w:pPr>
              <w:pStyle w:val="12"/>
              <w:spacing w:before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班级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pStyle w:val="12"/>
              <w:spacing w:before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联系方式</w:t>
            </w:r>
          </w:p>
        </w:tc>
        <w:tc>
          <w:tcPr>
            <w:tcW w:w="1124" w:type="dxa"/>
            <w:vAlign w:val="center"/>
          </w:tcPr>
          <w:p>
            <w:pPr>
              <w:pStyle w:val="12"/>
              <w:spacing w:before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邮箱</w:t>
            </w:r>
          </w:p>
        </w:tc>
        <w:tc>
          <w:tcPr>
            <w:tcW w:w="1110" w:type="dxa"/>
            <w:vAlign w:val="center"/>
          </w:tcPr>
          <w:p>
            <w:pPr>
              <w:pStyle w:val="12"/>
              <w:spacing w:before="16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是否通过贫困认证</w:t>
            </w:r>
          </w:p>
        </w:tc>
        <w:tc>
          <w:tcPr>
            <w:tcW w:w="2111" w:type="dxa"/>
            <w:vAlign w:val="center"/>
          </w:tcPr>
          <w:p>
            <w:pPr>
              <w:pStyle w:val="12"/>
              <w:spacing w:before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是否在勤工任职</w:t>
            </w:r>
          </w:p>
          <w:p>
            <w:pPr>
              <w:pStyle w:val="12"/>
              <w:spacing w:before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（在任+职位；否）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67" w:type="dxa"/>
            <w:vAlign w:val="center"/>
          </w:tcPr>
          <w:p>
            <w:pPr>
              <w:pStyle w:val="12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（队长）</w:t>
            </w:r>
          </w:p>
        </w:tc>
        <w:tc>
          <w:tcPr>
            <w:tcW w:w="828" w:type="dxa"/>
            <w:vAlign w:val="center"/>
          </w:tcPr>
          <w:p>
            <w:pPr>
              <w:pStyle w:val="12"/>
              <w:jc w:val="center"/>
              <w:rPr>
                <w:sz w:val="26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12"/>
              <w:jc w:val="center"/>
              <w:rPr>
                <w:sz w:val="26"/>
              </w:rPr>
            </w:pPr>
          </w:p>
        </w:tc>
        <w:tc>
          <w:tcPr>
            <w:tcW w:w="1112" w:type="dxa"/>
            <w:vAlign w:val="center"/>
          </w:tcPr>
          <w:p>
            <w:pPr>
              <w:pStyle w:val="12"/>
              <w:jc w:val="center"/>
              <w:rPr>
                <w:sz w:val="26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pStyle w:val="12"/>
              <w:jc w:val="center"/>
              <w:rPr>
                <w:sz w:val="26"/>
              </w:rPr>
            </w:pPr>
          </w:p>
        </w:tc>
        <w:tc>
          <w:tcPr>
            <w:tcW w:w="1124" w:type="dxa"/>
            <w:vAlign w:val="center"/>
          </w:tcPr>
          <w:p>
            <w:pPr>
              <w:pStyle w:val="12"/>
              <w:jc w:val="center"/>
              <w:rPr>
                <w:sz w:val="26"/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12"/>
              <w:jc w:val="center"/>
              <w:rPr>
                <w:sz w:val="26"/>
              </w:rPr>
            </w:pPr>
          </w:p>
        </w:tc>
        <w:tc>
          <w:tcPr>
            <w:tcW w:w="2111" w:type="dxa"/>
            <w:vAlign w:val="center"/>
          </w:tcPr>
          <w:p>
            <w:pPr>
              <w:pStyle w:val="12"/>
              <w:jc w:val="center"/>
              <w:rPr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7" w:type="dxa"/>
            <w:vAlign w:val="center"/>
          </w:tcPr>
          <w:p>
            <w:pPr>
              <w:pStyle w:val="12"/>
              <w:jc w:val="center"/>
              <w:rPr>
                <w:sz w:val="26"/>
              </w:rPr>
            </w:pPr>
          </w:p>
        </w:tc>
        <w:tc>
          <w:tcPr>
            <w:tcW w:w="828" w:type="dxa"/>
            <w:vAlign w:val="center"/>
          </w:tcPr>
          <w:p>
            <w:pPr>
              <w:pStyle w:val="12"/>
              <w:jc w:val="center"/>
              <w:rPr>
                <w:sz w:val="26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12"/>
              <w:jc w:val="center"/>
              <w:rPr>
                <w:sz w:val="26"/>
              </w:rPr>
            </w:pPr>
          </w:p>
        </w:tc>
        <w:tc>
          <w:tcPr>
            <w:tcW w:w="1112" w:type="dxa"/>
            <w:vAlign w:val="center"/>
          </w:tcPr>
          <w:p>
            <w:pPr>
              <w:pStyle w:val="12"/>
              <w:jc w:val="center"/>
              <w:rPr>
                <w:sz w:val="26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pStyle w:val="12"/>
              <w:jc w:val="center"/>
              <w:rPr>
                <w:sz w:val="26"/>
              </w:rPr>
            </w:pPr>
          </w:p>
        </w:tc>
        <w:tc>
          <w:tcPr>
            <w:tcW w:w="1124" w:type="dxa"/>
            <w:vAlign w:val="center"/>
          </w:tcPr>
          <w:p>
            <w:pPr>
              <w:pStyle w:val="12"/>
              <w:jc w:val="center"/>
              <w:rPr>
                <w:sz w:val="26"/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12"/>
              <w:jc w:val="center"/>
              <w:rPr>
                <w:sz w:val="26"/>
              </w:rPr>
            </w:pPr>
          </w:p>
        </w:tc>
        <w:tc>
          <w:tcPr>
            <w:tcW w:w="2111" w:type="dxa"/>
            <w:vAlign w:val="center"/>
          </w:tcPr>
          <w:p>
            <w:pPr>
              <w:pStyle w:val="12"/>
              <w:jc w:val="center"/>
              <w:rPr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67" w:type="dxa"/>
            <w:vAlign w:val="center"/>
          </w:tcPr>
          <w:p>
            <w:pPr>
              <w:pStyle w:val="12"/>
              <w:jc w:val="center"/>
              <w:rPr>
                <w:sz w:val="26"/>
              </w:rPr>
            </w:pPr>
          </w:p>
        </w:tc>
        <w:tc>
          <w:tcPr>
            <w:tcW w:w="828" w:type="dxa"/>
            <w:vAlign w:val="center"/>
          </w:tcPr>
          <w:p>
            <w:pPr>
              <w:pStyle w:val="12"/>
              <w:jc w:val="center"/>
              <w:rPr>
                <w:sz w:val="26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12"/>
              <w:jc w:val="center"/>
              <w:rPr>
                <w:sz w:val="26"/>
              </w:rPr>
            </w:pPr>
          </w:p>
        </w:tc>
        <w:tc>
          <w:tcPr>
            <w:tcW w:w="1112" w:type="dxa"/>
            <w:vAlign w:val="center"/>
          </w:tcPr>
          <w:p>
            <w:pPr>
              <w:pStyle w:val="12"/>
              <w:jc w:val="center"/>
              <w:rPr>
                <w:sz w:val="26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pStyle w:val="12"/>
              <w:jc w:val="center"/>
              <w:rPr>
                <w:sz w:val="26"/>
              </w:rPr>
            </w:pPr>
          </w:p>
        </w:tc>
        <w:tc>
          <w:tcPr>
            <w:tcW w:w="1124" w:type="dxa"/>
            <w:vAlign w:val="center"/>
          </w:tcPr>
          <w:p>
            <w:pPr>
              <w:pStyle w:val="12"/>
              <w:jc w:val="center"/>
              <w:rPr>
                <w:sz w:val="26"/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12"/>
              <w:jc w:val="center"/>
              <w:rPr>
                <w:sz w:val="26"/>
              </w:rPr>
            </w:pPr>
          </w:p>
        </w:tc>
        <w:tc>
          <w:tcPr>
            <w:tcW w:w="2111" w:type="dxa"/>
            <w:vAlign w:val="center"/>
          </w:tcPr>
          <w:p>
            <w:pPr>
              <w:pStyle w:val="12"/>
              <w:jc w:val="center"/>
              <w:rPr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7" w:type="dxa"/>
            <w:vAlign w:val="center"/>
          </w:tcPr>
          <w:p>
            <w:pPr>
              <w:pStyle w:val="12"/>
              <w:jc w:val="center"/>
              <w:rPr>
                <w:sz w:val="26"/>
              </w:rPr>
            </w:pPr>
          </w:p>
        </w:tc>
        <w:tc>
          <w:tcPr>
            <w:tcW w:w="828" w:type="dxa"/>
            <w:vAlign w:val="center"/>
          </w:tcPr>
          <w:p>
            <w:pPr>
              <w:pStyle w:val="12"/>
              <w:jc w:val="center"/>
              <w:rPr>
                <w:sz w:val="26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12"/>
              <w:jc w:val="center"/>
              <w:rPr>
                <w:sz w:val="26"/>
              </w:rPr>
            </w:pPr>
          </w:p>
        </w:tc>
        <w:tc>
          <w:tcPr>
            <w:tcW w:w="1112" w:type="dxa"/>
            <w:vAlign w:val="center"/>
          </w:tcPr>
          <w:p>
            <w:pPr>
              <w:pStyle w:val="12"/>
              <w:jc w:val="center"/>
              <w:rPr>
                <w:sz w:val="26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pStyle w:val="12"/>
              <w:jc w:val="center"/>
              <w:rPr>
                <w:sz w:val="26"/>
              </w:rPr>
            </w:pPr>
          </w:p>
        </w:tc>
        <w:tc>
          <w:tcPr>
            <w:tcW w:w="1124" w:type="dxa"/>
            <w:vAlign w:val="center"/>
          </w:tcPr>
          <w:p>
            <w:pPr>
              <w:pStyle w:val="12"/>
              <w:jc w:val="center"/>
              <w:rPr>
                <w:sz w:val="26"/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12"/>
              <w:jc w:val="center"/>
              <w:rPr>
                <w:sz w:val="26"/>
              </w:rPr>
            </w:pPr>
          </w:p>
        </w:tc>
        <w:tc>
          <w:tcPr>
            <w:tcW w:w="2111" w:type="dxa"/>
            <w:vAlign w:val="center"/>
          </w:tcPr>
          <w:p>
            <w:pPr>
              <w:pStyle w:val="12"/>
              <w:jc w:val="center"/>
              <w:rPr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67" w:type="dxa"/>
            <w:vAlign w:val="center"/>
          </w:tcPr>
          <w:p>
            <w:pPr>
              <w:pStyle w:val="12"/>
              <w:jc w:val="center"/>
              <w:rPr>
                <w:sz w:val="26"/>
              </w:rPr>
            </w:pPr>
          </w:p>
        </w:tc>
        <w:tc>
          <w:tcPr>
            <w:tcW w:w="828" w:type="dxa"/>
            <w:vAlign w:val="center"/>
          </w:tcPr>
          <w:p>
            <w:pPr>
              <w:pStyle w:val="12"/>
              <w:jc w:val="center"/>
              <w:rPr>
                <w:sz w:val="26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12"/>
              <w:jc w:val="center"/>
              <w:rPr>
                <w:sz w:val="26"/>
              </w:rPr>
            </w:pPr>
          </w:p>
        </w:tc>
        <w:tc>
          <w:tcPr>
            <w:tcW w:w="1112" w:type="dxa"/>
            <w:vAlign w:val="center"/>
          </w:tcPr>
          <w:p>
            <w:pPr>
              <w:pStyle w:val="12"/>
              <w:jc w:val="center"/>
              <w:rPr>
                <w:sz w:val="26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pStyle w:val="12"/>
              <w:jc w:val="center"/>
              <w:rPr>
                <w:sz w:val="26"/>
              </w:rPr>
            </w:pPr>
          </w:p>
        </w:tc>
        <w:tc>
          <w:tcPr>
            <w:tcW w:w="1124" w:type="dxa"/>
            <w:vAlign w:val="center"/>
          </w:tcPr>
          <w:p>
            <w:pPr>
              <w:pStyle w:val="12"/>
              <w:jc w:val="center"/>
              <w:rPr>
                <w:sz w:val="26"/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12"/>
              <w:jc w:val="center"/>
              <w:rPr>
                <w:sz w:val="26"/>
              </w:rPr>
            </w:pPr>
          </w:p>
        </w:tc>
        <w:tc>
          <w:tcPr>
            <w:tcW w:w="2111" w:type="dxa"/>
            <w:vAlign w:val="center"/>
          </w:tcPr>
          <w:p>
            <w:pPr>
              <w:pStyle w:val="12"/>
              <w:jc w:val="center"/>
              <w:rPr>
                <w:sz w:val="26"/>
              </w:rPr>
            </w:pPr>
          </w:p>
        </w:tc>
      </w:tr>
    </w:tbl>
    <w:p>
      <w:pPr>
        <w:spacing w:before="108"/>
        <w:rPr>
          <w:sz w:val="32"/>
        </w:rPr>
      </w:pPr>
      <w:r>
        <w:rPr>
          <w:rFonts w:hint="eastAsia"/>
          <w:sz w:val="32"/>
        </w:rPr>
        <w:t>注</w:t>
      </w:r>
      <w:r>
        <w:rPr>
          <w:sz w:val="32"/>
        </w:rPr>
        <w:t>：</w:t>
      </w:r>
      <w:r>
        <w:rPr>
          <w:rFonts w:hint="eastAsia"/>
          <w:sz w:val="32"/>
          <w:lang w:val="en-US"/>
        </w:rPr>
        <w:t>1、</w:t>
      </w:r>
      <w:r>
        <w:rPr>
          <w:sz w:val="32"/>
        </w:rPr>
        <w:t>队员信息可再另附材料介绍</w:t>
      </w:r>
      <w:r>
        <w:rPr>
          <w:rFonts w:hint="eastAsia"/>
          <w:sz w:val="32"/>
        </w:rPr>
        <w:t>；</w:t>
      </w:r>
    </w:p>
    <w:p>
      <w:pPr>
        <w:spacing w:before="108"/>
        <w:ind w:firstLine="640"/>
        <w:rPr>
          <w:sz w:val="32"/>
          <w:lang w:val="en-US"/>
        </w:rPr>
      </w:pPr>
      <w:r>
        <w:rPr>
          <w:rFonts w:hint="eastAsia"/>
          <w:sz w:val="32"/>
          <w:lang w:val="en-US"/>
        </w:rPr>
        <w:t>2、严禁抄袭搬用前任管理层的竞投书，一经发现，视情况扣分；</w:t>
      </w:r>
    </w:p>
    <w:p>
      <w:pPr>
        <w:spacing w:before="108"/>
        <w:ind w:firstLine="640"/>
        <w:rPr>
          <w:sz w:val="32"/>
          <w:lang w:val="en-US"/>
        </w:rPr>
      </w:pPr>
      <w:r>
        <w:rPr>
          <w:rFonts w:hint="eastAsia"/>
          <w:sz w:val="32"/>
          <w:lang w:val="en-US"/>
        </w:rPr>
        <w:t>3、在其他特色内容中，如涉及新业务的开展，请阐述完整的业务线。</w:t>
      </w:r>
    </w:p>
    <w:p>
      <w:pPr>
        <w:spacing w:before="108"/>
        <w:rPr>
          <w:sz w:val="32"/>
          <w:lang w:val="en-US"/>
        </w:rPr>
      </w:pPr>
    </w:p>
    <w:sectPr>
      <w:pgSz w:w="11910" w:h="16840"/>
      <w:pgMar w:top="1500" w:right="760" w:bottom="280" w:left="6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E3"/>
    <w:rsid w:val="000440E3"/>
    <w:rsid w:val="00262307"/>
    <w:rsid w:val="004915E5"/>
    <w:rsid w:val="007170CD"/>
    <w:rsid w:val="008C3E15"/>
    <w:rsid w:val="008C4F30"/>
    <w:rsid w:val="00D378F5"/>
    <w:rsid w:val="00F33B4E"/>
    <w:rsid w:val="0A4D72B0"/>
    <w:rsid w:val="0D8872F4"/>
    <w:rsid w:val="35522881"/>
    <w:rsid w:val="4E4C60CE"/>
    <w:rsid w:val="5A63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</w:style>
  <w:style w:type="paragraph" w:styleId="3">
    <w:name w:val="Body Text"/>
    <w:basedOn w:val="1"/>
    <w:qFormat/>
    <w:uiPriority w:val="1"/>
    <w:pPr>
      <w:spacing w:before="214"/>
      <w:ind w:left="1620"/>
    </w:pPr>
    <w:rPr>
      <w:b/>
      <w:bCs/>
      <w:sz w:val="32"/>
      <w:szCs w:val="32"/>
    </w:rPr>
  </w:style>
  <w:style w:type="paragraph" w:styleId="4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qFormat/>
    <w:uiPriority w:val="0"/>
    <w:rPr>
      <w:b/>
      <w:bCs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table" w:customStyle="1" w:styleId="10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批注文字 字符"/>
    <w:basedOn w:val="8"/>
    <w:link w:val="2"/>
    <w:qFormat/>
    <w:uiPriority w:val="0"/>
    <w:rPr>
      <w:rFonts w:ascii="仿宋" w:hAnsi="仿宋" w:eastAsia="仿宋" w:cs="仿宋"/>
      <w:sz w:val="22"/>
      <w:szCs w:val="22"/>
      <w:lang w:val="zh-CN" w:bidi="zh-CN"/>
    </w:rPr>
  </w:style>
  <w:style w:type="character" w:customStyle="1" w:styleId="14">
    <w:name w:val="批注主题 字符"/>
    <w:basedOn w:val="13"/>
    <w:link w:val="6"/>
    <w:qFormat/>
    <w:uiPriority w:val="0"/>
    <w:rPr>
      <w:rFonts w:ascii="仿宋" w:hAnsi="仿宋" w:eastAsia="仿宋" w:cs="仿宋"/>
      <w:b/>
      <w:bCs/>
      <w:sz w:val="22"/>
      <w:szCs w:val="22"/>
      <w:lang w:val="zh-CN" w:bidi="zh-CN"/>
    </w:rPr>
  </w:style>
  <w:style w:type="character" w:customStyle="1" w:styleId="15">
    <w:name w:val="页眉 字符"/>
    <w:basedOn w:val="8"/>
    <w:link w:val="5"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6">
    <w:name w:val="页脚 字符"/>
    <w:basedOn w:val="8"/>
    <w:link w:val="4"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439</Characters>
  <Lines>3</Lines>
  <Paragraphs>1</Paragraphs>
  <TotalTime>4</TotalTime>
  <ScaleCrop>false</ScaleCrop>
  <LinksUpToDate>false</LinksUpToDate>
  <CharactersWithSpaces>514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2021-02-04T07:11:00Z</dcterms:created>
  <dc:creator>Administrator</dc:creator>
  <cp:lastModifiedBy>Black canary </cp:lastModifiedBy>
  <dcterms:modified xsi:type="dcterms:W3CDTF">2022-01-23T13:53:54Z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2019-03-04T00:00:00Z</vt:filetime>
  </property>
  <property fmtid="{D5CDD505-2E9C-101B-9397-08002B2CF9AE}" pid="5" name="KSOProductBuildVer">
    <vt:lpwstr>2052-11.1.0.11294</vt:lpwstr>
  </property>
  <property fmtid="{D5CDD505-2E9C-101B-9397-08002B2CF9AE}" pid="6" name="ICV">
    <vt:lpwstr>35A59AAC0DA24E5887B436B5406CFD63</vt:lpwstr>
  </property>
</Properties>
</file>