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sz w:val="48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/>
        </w:rPr>
        <w:t>2018年云山勤工职能部门管理层招聘方案</w:t>
      </w:r>
    </w:p>
    <w:p>
      <w:pPr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云山勤工助学的管理体制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、优化机构职能、完善运作机制，提升管理服务水平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，提高学生实践与管理能力，培养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职业经理人素质素养</w:t>
      </w:r>
      <w:r>
        <w:rPr>
          <w:rFonts w:hint="eastAsia" w:ascii="仿宋_GB2312" w:hAnsi="仿宋_GB2312" w:eastAsia="仿宋_GB2312" w:cs="仿宋_GB2312"/>
          <w:sz w:val="32"/>
          <w:szCs w:val="32"/>
        </w:rPr>
        <w:t>。结合我校实际，现面向我校全日制在校本科生对云山勤工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职能部门管理层以上岗位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勤工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</w:t>
      </w: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董事会及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职能部门，共招聘南北校合计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22个副经理级以上管理岗位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。（详见附录）</w:t>
      </w:r>
    </w:p>
    <w:tbl>
      <w:tblPr>
        <w:tblStyle w:val="10"/>
        <w:tblpPr w:leftFromText="180" w:rightFromText="180" w:vertAnchor="text" w:horzAnchor="page" w:tblpXSpec="center" w:tblpY="258"/>
        <w:tblW w:w="8600" w:type="dxa"/>
        <w:jc w:val="center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2194"/>
        <w:gridCol w:w="3654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单位名称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职位</w:t>
            </w:r>
          </w:p>
        </w:tc>
        <w:tc>
          <w:tcPr>
            <w:tcW w:w="3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人数设置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董事会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常务董事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常务副董事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审计监察部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财务部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副经理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行政部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公共关系部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人力资源部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采购部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校友会秘书处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3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南北校各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ind w:firstLine="320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15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勤工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职能部门管理层以上招聘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面向学校全日制在校本科生，采取“公开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、择优录用”的方式，学生自行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云山勤工职能部门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当选学生将由</w:t>
      </w:r>
      <w:r>
        <w:rPr>
          <w:rFonts w:hint="eastAsia" w:ascii="仿宋_GB2312" w:hAnsi="仿宋_GB2312" w:eastAsia="仿宋_GB2312" w:cs="仿宋_GB2312"/>
          <w:sz w:val="32"/>
          <w:szCs w:val="32"/>
        </w:rPr>
        <w:t>云山勤工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颁发聘用证书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）管理要求：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聘用任期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原则上均为1学年。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政管理。聘任期间，管理层应立足整体，把握全局，全面领导执行并主持部门工作，制定本部门的学期工作计划，管理人员编制，传达并贯彻执行上级的指示和决议，及时向董事会及指导老师汇报，充分发挥职能部门的服务和管理功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人事管理。各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/>
        </w:rPr>
        <w:t>可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/>
          <w:lang w:eastAsia="zh-CN"/>
        </w:rPr>
        <w:t>通过云山勤工统一组织或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自行招聘面试、考核与录用在校全日制本科生作为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职能部门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员工，根据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实际情况自行制定与实施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科学合理的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员工培训培养方案，完善后备优秀团队成员培养机制。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highlight w:val="none"/>
          <w:lang w:eastAsia="zh-CN"/>
        </w:rPr>
        <w:t>职能部门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highlight w:val="none"/>
        </w:rPr>
        <w:t>成员要求家庭经济困难学生人数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shd w:val="clear"/>
          <w:lang w:eastAsia="zh-CN"/>
        </w:rPr>
        <w:t>南校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shd w:val="clear"/>
        </w:rPr>
        <w:t>达到百分之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shd w:val="clear"/>
          <w:lang w:eastAsia="zh-CN"/>
        </w:rPr>
        <w:t>八十以上，北校达到六十以上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highlight w:val="none"/>
        </w:rPr>
        <w:t>。技术类岗位如新媒体技术专员、财务专员等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highlight w:val="none"/>
        </w:rPr>
        <w:t>可聘用非家庭经济困难学生，技术类岗位由云山勤工审核确定。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薪酬管理。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聘任期内，管理层每月由云山勤工发放固定工资。常规考核工作将参照《云山学生勤工助学考核制度》、《云山学生勤工助学奖惩条例》及当次的绩效考核操作细则，对管理层的表现进行奖惩。另外，云山勤工人力资源部在每年4月份会开展年度评优工作,勤工届时会为获奖单位以及个人派发相关证书及相关奖金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聘任期内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，针对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部门管理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不善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，个人管理能力不足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经指导调节仍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未能达到预期目标，则引进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劝退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机制，重新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应聘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流程</w:t>
      </w:r>
    </w:p>
    <w:bookmarkEnd w:id="0"/>
    <w:p>
      <w:pPr>
        <w:shd w:val="clear"/>
        <w:ind w:firstLine="64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eastAsia="zh-CN"/>
        </w:rPr>
        <w:t>规划书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撰写阶段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上旬</w:t>
      </w:r>
    </w:p>
    <w:p>
      <w:pPr>
        <w:shd w:val="clea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　　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报名。于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日之前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将竞选规划书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+个人简历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电子版打包按照【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xx（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部门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规划书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+姓名+电话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】的格式发到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shd w:val="clear" w:color="auto" w:fill="auto"/>
        </w:rPr>
        <w:t>yunshanqgzx@126.com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并提交纸质版竞投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+个人简历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（一式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份）到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云山勤工董事会（南校地址：学活二楼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val="en-US" w:eastAsia="zh-CN"/>
        </w:rPr>
        <w:t>202室；值班时间：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周一至五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val="en-US" w:eastAsia="zh-CN"/>
        </w:rPr>
        <w:t>15:40-18:10。北校地址：体育楼309室，值班时间:周一至五10:10-12:40、14:00-18:50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。</w:t>
      </w:r>
    </w:p>
    <w:p>
      <w:pPr>
        <w:shd w:val="clea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初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阶段：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旬。</w:t>
      </w:r>
    </w:p>
    <w:p>
      <w:pPr>
        <w:shd w:val="clear"/>
        <w:ind w:firstLine="645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00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组织初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选评委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会，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选形式为无领导小组面试及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评审团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多对多压力面试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根据评分名次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</w:rPr>
        <w:t>进入复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/>
          <w:lang w:eastAsia="zh-CN"/>
        </w:rPr>
        <w:t>选。</w:t>
      </w:r>
    </w:p>
    <w:p>
      <w:pPr>
        <w:shd w:val="clea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3.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复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eastAsia="zh-CN"/>
        </w:rPr>
        <w:t>审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阶段：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旬。</w:t>
      </w:r>
    </w:p>
    <w:p>
      <w:pPr>
        <w:shd w:val="clea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通过初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将进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进入部门规划展示及结构化面试环节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由复审评审团进行评分。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根据名次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进入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  <w:lang w:eastAsia="zh-CN"/>
        </w:rPr>
        <w:t>实习环节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/>
        </w:rPr>
        <w:t>。</w:t>
      </w:r>
    </w:p>
    <w:p>
      <w:pPr>
        <w:shd w:val="clea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val="en-US" w:eastAsia="zh-CN"/>
        </w:rPr>
        <w:t xml:space="preserve">     4.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终审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eastAsia="zh-CN"/>
        </w:rPr>
        <w:t>通表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阶段：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月中旬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月中旬。</w:t>
      </w:r>
    </w:p>
    <w:p>
      <w:pPr>
        <w:shd w:val="clear"/>
        <w:ind w:firstLine="645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）通过复审的个人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将到竞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选目标部门实习，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由现任管理层带领进行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一个月时间的实习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，期间须充分了解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运作模式等内容。</w:t>
      </w:r>
    </w:p>
    <w:p>
      <w:pPr>
        <w:ind w:firstLine="645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）实习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结束后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终审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通表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，终审内容包括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实习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成果展示及在此基础上对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更加详细深入的未来规划，最终由终审评审团评分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确定入选名单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。未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入选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个人可以申请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进行调剂。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得分计算公式为：总分=初评15%+复评35%+实习50%）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学生工作部（处）勤工助学科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南校区办公室地址及电话：校行政楼116，39328388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北校区办公室地址及电话：校行政楼101，36207027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"mailto:xschu@gdufs.edu.cn"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xschu@gdufs.edu.cn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（注：本方案最终解释权归广东外语外贸大学云山学生勤工助学）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云山学生勤工助学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02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D0752"/>
    <w:multiLevelType w:val="singleLevel"/>
    <w:tmpl w:val="AB5D0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530D9"/>
    <w:rsid w:val="001557D1"/>
    <w:rsid w:val="001C7A54"/>
    <w:rsid w:val="00544331"/>
    <w:rsid w:val="00654CF0"/>
    <w:rsid w:val="008573CA"/>
    <w:rsid w:val="00872141"/>
    <w:rsid w:val="008B0F2B"/>
    <w:rsid w:val="009B4299"/>
    <w:rsid w:val="00A04E74"/>
    <w:rsid w:val="00D44200"/>
    <w:rsid w:val="00F5556B"/>
    <w:rsid w:val="04C72D65"/>
    <w:rsid w:val="087F49E6"/>
    <w:rsid w:val="125D0054"/>
    <w:rsid w:val="15407BE7"/>
    <w:rsid w:val="1C3D56FA"/>
    <w:rsid w:val="1EBB59DD"/>
    <w:rsid w:val="22156EB4"/>
    <w:rsid w:val="22D2765F"/>
    <w:rsid w:val="278530D9"/>
    <w:rsid w:val="27FF2697"/>
    <w:rsid w:val="290917BA"/>
    <w:rsid w:val="2C3C2E5F"/>
    <w:rsid w:val="30F710E0"/>
    <w:rsid w:val="33A81534"/>
    <w:rsid w:val="3BC62B88"/>
    <w:rsid w:val="3CF8535F"/>
    <w:rsid w:val="3D6E6F45"/>
    <w:rsid w:val="44600AAC"/>
    <w:rsid w:val="46D6730C"/>
    <w:rsid w:val="499C5C3D"/>
    <w:rsid w:val="4C2A56EA"/>
    <w:rsid w:val="53E26133"/>
    <w:rsid w:val="552C233E"/>
    <w:rsid w:val="5E132A4E"/>
    <w:rsid w:val="735C1045"/>
    <w:rsid w:val="7586234B"/>
    <w:rsid w:val="76481117"/>
    <w:rsid w:val="7A703AE2"/>
    <w:rsid w:val="7E4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480" w:lineRule="exact"/>
      <w:ind w:firstLine="540"/>
      <w:jc w:val="left"/>
    </w:pPr>
    <w:rPr>
      <w:rFonts w:ascii="宋体"/>
      <w:kern w:val="0"/>
      <w:sz w:val="24"/>
      <w:szCs w:val="20"/>
      <w:lang w:bidi="he-IL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1494</Words>
  <Characters>1618</Characters>
  <Lines>25</Lines>
  <Paragraphs>7</Paragraphs>
  <ScaleCrop>false</ScaleCrop>
  <LinksUpToDate>false</LinksUpToDate>
  <CharactersWithSpaces>1636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2017-02-17T06:43:00Z</dcterms:created>
  <dc:creator>Administrator</dc:creator>
  <cp:lastModifiedBy>lenovo</cp:lastModifiedBy>
  <cp:lastPrinted>2017-03-02T09:26:00Z</cp:lastPrinted>
  <dcterms:modified xsi:type="dcterms:W3CDTF">2018-03-06T10:12:40Z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